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9C6" w:rsidRDefault="00B909C6" w:rsidP="00B909C6">
      <w:pPr>
        <w:spacing w:line="600" w:lineRule="exact"/>
        <w:rPr>
          <w:rFonts w:ascii="黑体" w:eastAsia="黑体" w:hAnsi="黑体"/>
          <w:sz w:val="32"/>
          <w:szCs w:val="32"/>
        </w:rPr>
      </w:pPr>
      <w:r>
        <w:rPr>
          <w:rFonts w:ascii="黑体" w:eastAsia="黑体" w:hAnsi="黑体" w:hint="eastAsia"/>
          <w:sz w:val="32"/>
          <w:szCs w:val="32"/>
        </w:rPr>
        <w:t>附件1</w:t>
      </w:r>
    </w:p>
    <w:p w:rsidR="00B909C6" w:rsidRDefault="00B909C6" w:rsidP="00B909C6">
      <w:pPr>
        <w:spacing w:line="600" w:lineRule="exact"/>
        <w:ind w:firstLineChars="200" w:firstLine="640"/>
        <w:jc w:val="center"/>
        <w:rPr>
          <w:rFonts w:ascii="黑体" w:eastAsia="黑体" w:hAnsi="黑体" w:hint="eastAsia"/>
          <w:sz w:val="32"/>
          <w:szCs w:val="32"/>
        </w:rPr>
      </w:pPr>
      <w:r>
        <w:rPr>
          <w:rFonts w:ascii="黑体" w:eastAsia="黑体" w:hAnsi="黑体" w:hint="eastAsia"/>
          <w:sz w:val="32"/>
          <w:szCs w:val="32"/>
        </w:rPr>
        <w:t>填报说明</w:t>
      </w:r>
    </w:p>
    <w:p w:rsidR="00B909C6" w:rsidRDefault="00B909C6" w:rsidP="00B909C6">
      <w:pPr>
        <w:spacing w:line="600" w:lineRule="exact"/>
        <w:ind w:firstLineChars="200" w:firstLine="640"/>
        <w:rPr>
          <w:rFonts w:ascii="黑体" w:eastAsia="黑体" w:hAnsi="黑体" w:hint="eastAsia"/>
          <w:sz w:val="32"/>
          <w:szCs w:val="32"/>
        </w:rPr>
      </w:pPr>
      <w:r>
        <w:rPr>
          <w:rFonts w:ascii="黑体" w:eastAsia="黑体" w:hAnsi="黑体" w:hint="eastAsia"/>
          <w:sz w:val="32"/>
          <w:szCs w:val="32"/>
        </w:rPr>
        <w:t>一、调查范围</w:t>
      </w:r>
    </w:p>
    <w:p w:rsidR="00B909C6" w:rsidRDefault="00B909C6" w:rsidP="00B909C6">
      <w:pPr>
        <w:spacing w:line="60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内蒙古自治区各级、各类公共机构，即全区全部或者部分使用财政性资金的国家机关、事业单位和团体组织。</w:t>
      </w:r>
    </w:p>
    <w:p w:rsidR="00B909C6" w:rsidRDefault="00B909C6" w:rsidP="00B909C6">
      <w:pPr>
        <w:spacing w:line="600" w:lineRule="exact"/>
        <w:ind w:firstLineChars="200" w:firstLine="640"/>
        <w:rPr>
          <w:rFonts w:ascii="黑体" w:eastAsia="黑体" w:hAnsi="黑体" w:hint="eastAsia"/>
          <w:sz w:val="32"/>
          <w:szCs w:val="32"/>
        </w:rPr>
      </w:pPr>
      <w:r>
        <w:rPr>
          <w:rFonts w:ascii="黑体" w:eastAsia="黑体" w:hAnsi="黑体" w:hint="eastAsia"/>
          <w:sz w:val="32"/>
          <w:szCs w:val="32"/>
        </w:rPr>
        <w:t>二、调查方法</w:t>
      </w:r>
    </w:p>
    <w:p w:rsidR="00B909C6" w:rsidRDefault="00B909C6" w:rsidP="00B909C6">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公共机构节能资源</w:t>
      </w:r>
      <w:r>
        <w:rPr>
          <w:rFonts w:ascii="仿宋_GB2312" w:eastAsia="仿宋_GB2312" w:hAnsi="宋体"/>
          <w:sz w:val="32"/>
          <w:szCs w:val="32"/>
        </w:rPr>
        <w:t>消费信息统计擦爱用全面调查方法。</w:t>
      </w:r>
      <w:bookmarkStart w:id="0" w:name="_Toc424226957"/>
    </w:p>
    <w:p w:rsidR="00B909C6" w:rsidRPr="00A80E46" w:rsidRDefault="00B909C6" w:rsidP="00B909C6">
      <w:pPr>
        <w:spacing w:line="600" w:lineRule="exact"/>
        <w:ind w:firstLineChars="200" w:firstLine="640"/>
        <w:rPr>
          <w:rFonts w:ascii="黑体" w:eastAsia="黑体" w:hAnsi="黑体"/>
          <w:sz w:val="32"/>
          <w:szCs w:val="32"/>
        </w:rPr>
      </w:pPr>
      <w:r w:rsidRPr="00A80E46">
        <w:rPr>
          <w:rFonts w:ascii="黑体" w:eastAsia="黑体" w:hAnsi="黑体" w:hint="eastAsia"/>
          <w:sz w:val="32"/>
          <w:szCs w:val="32"/>
        </w:rPr>
        <w:t>三</w:t>
      </w:r>
      <w:r w:rsidRPr="00A80E46">
        <w:rPr>
          <w:rFonts w:ascii="黑体" w:eastAsia="黑体" w:hAnsi="黑体"/>
          <w:sz w:val="32"/>
          <w:szCs w:val="32"/>
        </w:rPr>
        <w:t>、调查内容</w:t>
      </w:r>
    </w:p>
    <w:p w:rsidR="00B909C6" w:rsidRDefault="00B909C6" w:rsidP="00B909C6">
      <w:pPr>
        <w:spacing w:line="60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公共机构</w:t>
      </w:r>
      <w:r>
        <w:rPr>
          <w:rFonts w:ascii="仿宋_GB2312" w:eastAsia="仿宋_GB2312" w:hAnsi="宋体"/>
          <w:sz w:val="32"/>
          <w:szCs w:val="32"/>
        </w:rPr>
        <w:t>基本信息和使用的煤、燃气、燃油、</w:t>
      </w:r>
      <w:r>
        <w:rPr>
          <w:rFonts w:ascii="仿宋_GB2312" w:eastAsia="仿宋_GB2312" w:hAnsi="宋体" w:hint="eastAsia"/>
          <w:sz w:val="32"/>
          <w:szCs w:val="32"/>
        </w:rPr>
        <w:t>电</w:t>
      </w:r>
      <w:r>
        <w:rPr>
          <w:rFonts w:ascii="仿宋_GB2312" w:eastAsia="仿宋_GB2312" w:hAnsi="宋体"/>
          <w:sz w:val="32"/>
          <w:szCs w:val="32"/>
        </w:rPr>
        <w:t>、热力和水、土地等各种能源资源消费信息。</w:t>
      </w:r>
    </w:p>
    <w:p w:rsidR="00B909C6" w:rsidRDefault="00B909C6" w:rsidP="00B909C6">
      <w:pPr>
        <w:spacing w:line="600" w:lineRule="exact"/>
        <w:ind w:firstLineChars="200" w:firstLine="640"/>
        <w:rPr>
          <w:rFonts w:ascii="黑体" w:eastAsia="黑体" w:hAnsi="黑体"/>
          <w:sz w:val="32"/>
          <w:szCs w:val="32"/>
        </w:rPr>
      </w:pPr>
      <w:r>
        <w:rPr>
          <w:rFonts w:ascii="黑体" w:eastAsia="黑体" w:hAnsi="黑体" w:hint="eastAsia"/>
          <w:sz w:val="32"/>
          <w:szCs w:val="32"/>
        </w:rPr>
        <w:t>四、报送时限</w:t>
      </w:r>
    </w:p>
    <w:p w:rsidR="00B909C6" w:rsidRPr="00940353" w:rsidRDefault="00B909C6" w:rsidP="00B909C6">
      <w:pPr>
        <w:spacing w:line="600" w:lineRule="exact"/>
        <w:ind w:firstLineChars="200" w:firstLine="640"/>
        <w:rPr>
          <w:rFonts w:ascii="仿宋_GB2312" w:eastAsia="仿宋_GB2312" w:hAnsi="宋体" w:hint="eastAsia"/>
          <w:sz w:val="32"/>
          <w:szCs w:val="32"/>
        </w:rPr>
      </w:pPr>
      <w:r w:rsidRPr="00940353">
        <w:rPr>
          <w:rFonts w:ascii="仿宋_GB2312" w:eastAsia="仿宋_GB2312" w:hAnsi="宋体" w:hint="eastAsia"/>
          <w:sz w:val="32"/>
          <w:szCs w:val="32"/>
        </w:rPr>
        <w:t>为</w:t>
      </w:r>
      <w:r w:rsidRPr="00940353">
        <w:rPr>
          <w:rFonts w:ascii="仿宋_GB2312" w:eastAsia="仿宋_GB2312" w:hAnsi="宋体"/>
          <w:sz w:val="32"/>
          <w:szCs w:val="32"/>
        </w:rPr>
        <w:t>月报和年报。月报</w:t>
      </w:r>
      <w:r w:rsidRPr="00940353">
        <w:rPr>
          <w:rFonts w:ascii="仿宋_GB2312" w:eastAsia="仿宋_GB2312" w:hAnsi="宋体" w:hint="eastAsia"/>
          <w:sz w:val="32"/>
          <w:szCs w:val="32"/>
        </w:rPr>
        <w:t>报表于</w:t>
      </w:r>
      <w:r w:rsidRPr="00940353">
        <w:rPr>
          <w:rFonts w:ascii="仿宋_GB2312" w:eastAsia="仿宋_GB2312" w:hAnsi="宋体"/>
          <w:sz w:val="32"/>
          <w:szCs w:val="32"/>
        </w:rPr>
        <w:t>次月</w:t>
      </w:r>
      <w:r w:rsidRPr="00940353">
        <w:rPr>
          <w:rFonts w:ascii="仿宋_GB2312" w:eastAsia="仿宋_GB2312" w:hAnsi="宋体" w:hint="eastAsia"/>
          <w:sz w:val="32"/>
          <w:szCs w:val="32"/>
        </w:rPr>
        <w:t>15日</w:t>
      </w:r>
      <w:r w:rsidRPr="00940353">
        <w:rPr>
          <w:rFonts w:ascii="仿宋_GB2312" w:eastAsia="仿宋_GB2312" w:hAnsi="宋体"/>
          <w:sz w:val="32"/>
          <w:szCs w:val="32"/>
        </w:rPr>
        <w:t>前</w:t>
      </w:r>
      <w:r w:rsidRPr="00940353">
        <w:rPr>
          <w:rFonts w:ascii="仿宋_GB2312" w:eastAsia="仿宋_GB2312" w:hAnsi="宋体" w:hint="eastAsia"/>
          <w:sz w:val="32"/>
          <w:szCs w:val="32"/>
        </w:rPr>
        <w:t>报送</w:t>
      </w:r>
      <w:r w:rsidRPr="00940353">
        <w:rPr>
          <w:rFonts w:ascii="仿宋_GB2312" w:eastAsia="仿宋_GB2312" w:hAnsi="宋体"/>
          <w:sz w:val="32"/>
          <w:szCs w:val="32"/>
        </w:rPr>
        <w:t>，《</w:t>
      </w:r>
      <w:r w:rsidRPr="00940353">
        <w:rPr>
          <w:rFonts w:ascii="仿宋_GB2312" w:eastAsia="仿宋_GB2312" w:hAnsi="宋体" w:hint="eastAsia"/>
          <w:sz w:val="32"/>
          <w:szCs w:val="32"/>
        </w:rPr>
        <w:t>公共</w:t>
      </w:r>
      <w:r w:rsidRPr="00940353">
        <w:rPr>
          <w:rFonts w:ascii="仿宋_GB2312" w:eastAsia="仿宋_GB2312" w:hAnsi="宋体"/>
          <w:sz w:val="32"/>
          <w:szCs w:val="32"/>
        </w:rPr>
        <w:t>机构基本信息》</w:t>
      </w:r>
      <w:r w:rsidRPr="00940353">
        <w:rPr>
          <w:rFonts w:ascii="仿宋_GB2312" w:eastAsia="仿宋_GB2312" w:hAnsi="宋体" w:hint="eastAsia"/>
          <w:sz w:val="32"/>
          <w:szCs w:val="32"/>
        </w:rPr>
        <w:t>于每年1月15日</w:t>
      </w:r>
      <w:r w:rsidRPr="00940353">
        <w:rPr>
          <w:rFonts w:ascii="仿宋_GB2312" w:eastAsia="仿宋_GB2312" w:hAnsi="宋体"/>
          <w:sz w:val="32"/>
          <w:szCs w:val="32"/>
        </w:rPr>
        <w:t>前报送，其余年报报表于次年</w:t>
      </w:r>
      <w:r w:rsidRPr="00940353">
        <w:rPr>
          <w:rFonts w:ascii="仿宋_GB2312" w:eastAsia="仿宋_GB2312" w:hAnsi="宋体" w:hint="eastAsia"/>
          <w:sz w:val="32"/>
          <w:szCs w:val="32"/>
        </w:rPr>
        <w:t>3月1日</w:t>
      </w:r>
      <w:r w:rsidRPr="00940353">
        <w:rPr>
          <w:rFonts w:ascii="仿宋_GB2312" w:eastAsia="仿宋_GB2312" w:hAnsi="宋体"/>
          <w:sz w:val="32"/>
          <w:szCs w:val="32"/>
        </w:rPr>
        <w:t>前报送。</w:t>
      </w:r>
    </w:p>
    <w:p w:rsidR="00B909C6" w:rsidRPr="000B49D4" w:rsidRDefault="00B909C6" w:rsidP="00B909C6">
      <w:pPr>
        <w:spacing w:line="600" w:lineRule="exact"/>
        <w:ind w:firstLineChars="200" w:firstLine="640"/>
        <w:rPr>
          <w:rFonts w:ascii="黑体" w:eastAsia="黑体" w:hAnsi="黑体" w:hint="eastAsia"/>
          <w:sz w:val="32"/>
          <w:szCs w:val="32"/>
        </w:rPr>
      </w:pPr>
      <w:r w:rsidRPr="000B49D4">
        <w:rPr>
          <w:rFonts w:ascii="黑体" w:eastAsia="黑体" w:hAnsi="黑体" w:hint="eastAsia"/>
          <w:sz w:val="32"/>
          <w:szCs w:val="32"/>
        </w:rPr>
        <w:t>四、报送时限</w:t>
      </w:r>
    </w:p>
    <w:p w:rsidR="00B909C6" w:rsidRPr="000B49D4" w:rsidRDefault="00B909C6" w:rsidP="00B909C6">
      <w:pPr>
        <w:spacing w:line="600" w:lineRule="exact"/>
        <w:ind w:firstLineChars="200" w:firstLine="640"/>
        <w:rPr>
          <w:rFonts w:ascii="仿宋_GB2312" w:eastAsia="仿宋_GB2312" w:hAnsi="宋体" w:hint="eastAsia"/>
          <w:sz w:val="32"/>
          <w:szCs w:val="32"/>
        </w:rPr>
      </w:pPr>
      <w:r w:rsidRPr="000B49D4">
        <w:rPr>
          <w:rFonts w:ascii="仿宋_GB2312" w:eastAsia="仿宋_GB2312" w:hAnsi="宋体" w:hint="eastAsia"/>
          <w:sz w:val="32"/>
          <w:szCs w:val="32"/>
        </w:rPr>
        <w:t>为月报和年报。月报报表于次月15日前报送，《公共机构基本信息》于每年1月15日前报送，其余年报报表于次年3月1日前报送。</w:t>
      </w:r>
    </w:p>
    <w:p w:rsidR="00B909C6" w:rsidRPr="000B49D4" w:rsidRDefault="00B909C6" w:rsidP="00B909C6">
      <w:pPr>
        <w:spacing w:line="600" w:lineRule="exact"/>
        <w:ind w:firstLineChars="200" w:firstLine="640"/>
        <w:rPr>
          <w:rFonts w:ascii="黑体" w:eastAsia="黑体" w:hAnsi="黑体" w:hint="eastAsia"/>
          <w:sz w:val="32"/>
          <w:szCs w:val="32"/>
        </w:rPr>
      </w:pPr>
      <w:r w:rsidRPr="000B49D4">
        <w:rPr>
          <w:rFonts w:ascii="黑体" w:eastAsia="黑体" w:hAnsi="黑体" w:hint="eastAsia"/>
          <w:sz w:val="32"/>
          <w:szCs w:val="32"/>
        </w:rPr>
        <w:t>五、职责分工</w:t>
      </w:r>
    </w:p>
    <w:p w:rsidR="00B909C6" w:rsidRPr="000B49D4" w:rsidRDefault="00B909C6" w:rsidP="00B909C6">
      <w:pPr>
        <w:spacing w:line="600" w:lineRule="exact"/>
        <w:ind w:firstLineChars="200" w:firstLine="640"/>
        <w:rPr>
          <w:rFonts w:ascii="仿宋_GB2312" w:eastAsia="仿宋_GB2312" w:hAnsi="宋体" w:hint="eastAsia"/>
          <w:sz w:val="32"/>
          <w:szCs w:val="32"/>
        </w:rPr>
      </w:pPr>
      <w:r w:rsidRPr="000B49D4">
        <w:rPr>
          <w:rFonts w:ascii="仿宋_GB2312" w:eastAsia="仿宋_GB2312" w:hAnsi="宋体" w:hint="eastAsia"/>
          <w:sz w:val="32"/>
          <w:szCs w:val="32"/>
        </w:rPr>
        <w:t>公共机构能源资源消费统计工作在国家机关事务管理局的统一部署下，由县级以上人民政府管理公共机构节能工作的机构组织实施。公共机构按照行政隶属关系组织开展能源资源消费统计工作。</w:t>
      </w:r>
    </w:p>
    <w:p w:rsidR="00B909C6" w:rsidRPr="000B49D4" w:rsidRDefault="00B909C6" w:rsidP="00B909C6">
      <w:pPr>
        <w:spacing w:line="600" w:lineRule="exact"/>
        <w:ind w:firstLineChars="200" w:firstLine="640"/>
        <w:rPr>
          <w:rFonts w:ascii="仿宋_GB2312" w:eastAsia="仿宋_GB2312" w:hAnsi="宋体" w:hint="eastAsia"/>
          <w:sz w:val="32"/>
          <w:szCs w:val="32"/>
        </w:rPr>
      </w:pPr>
      <w:r w:rsidRPr="000B49D4">
        <w:rPr>
          <w:rFonts w:ascii="仿宋_GB2312" w:eastAsia="仿宋_GB2312" w:hAnsi="宋体" w:hint="eastAsia"/>
          <w:sz w:val="32"/>
          <w:szCs w:val="32"/>
        </w:rPr>
        <w:lastRenderedPageBreak/>
        <w:t>（一）自治区机关事务管理局负责全区公共机构能源资源消费统计工作。包括制定统计实施方案、部署统计工作、开展统计培训、组织交流统计工作经验、审核汇总统计数据、编制统计调查分析报告等。</w:t>
      </w:r>
    </w:p>
    <w:p w:rsidR="00B909C6" w:rsidRPr="000B49D4" w:rsidRDefault="00B909C6" w:rsidP="00B909C6">
      <w:pPr>
        <w:spacing w:line="600" w:lineRule="exact"/>
        <w:ind w:firstLineChars="200" w:firstLine="640"/>
        <w:rPr>
          <w:rFonts w:ascii="仿宋_GB2312" w:eastAsia="仿宋_GB2312" w:hAnsi="宋体" w:hint="eastAsia"/>
          <w:sz w:val="32"/>
          <w:szCs w:val="32"/>
        </w:rPr>
      </w:pPr>
      <w:r w:rsidRPr="000B49D4">
        <w:rPr>
          <w:rFonts w:ascii="仿宋_GB2312" w:eastAsia="仿宋_GB2312" w:hAnsi="宋体" w:hint="eastAsia"/>
          <w:sz w:val="32"/>
          <w:szCs w:val="32"/>
        </w:rPr>
        <w:t>（二）县级以上地方各级人民政府管理公共机构节能工作的机构依照法律规定的权限负责组织本行政区域内公共机构能源资源消费信息统计工作。包括制定统计实施方案、部署统计工作、发放统计软件和报表、开展统计培训、组织交流统计工作经验、审核汇总统计数据、编制统计调查分析报告并报送上级人民政府管理公共机构节能工作的机构等。</w:t>
      </w:r>
    </w:p>
    <w:p w:rsidR="00B909C6" w:rsidRPr="000B49D4" w:rsidRDefault="00B909C6" w:rsidP="00B909C6">
      <w:pPr>
        <w:spacing w:line="600" w:lineRule="exact"/>
        <w:ind w:firstLineChars="200" w:firstLine="640"/>
        <w:rPr>
          <w:rFonts w:ascii="仿宋_GB2312" w:eastAsia="仿宋_GB2312" w:hAnsi="宋体" w:hint="eastAsia"/>
          <w:sz w:val="32"/>
          <w:szCs w:val="32"/>
        </w:rPr>
      </w:pPr>
      <w:r w:rsidRPr="000B49D4">
        <w:rPr>
          <w:rFonts w:ascii="仿宋_GB2312" w:eastAsia="仿宋_GB2312" w:hAnsi="宋体" w:hint="eastAsia"/>
          <w:sz w:val="32"/>
          <w:szCs w:val="32"/>
        </w:rPr>
        <w:t>（三）自治区直属各单位的能源资源消费统计工作由自治区机关事务管理局负责。自治区直属各单位负责所属公共机构（包括派驻地方的公共机构）的能源资源消费统计工作。</w:t>
      </w:r>
    </w:p>
    <w:p w:rsidR="00B909C6" w:rsidRPr="000B49D4" w:rsidRDefault="00B909C6" w:rsidP="00B909C6">
      <w:pPr>
        <w:spacing w:line="600" w:lineRule="exact"/>
        <w:ind w:firstLineChars="200" w:firstLine="640"/>
        <w:rPr>
          <w:rFonts w:ascii="仿宋_GB2312" w:eastAsia="仿宋_GB2312" w:hAnsi="宋体" w:hint="eastAsia"/>
          <w:sz w:val="32"/>
          <w:szCs w:val="32"/>
        </w:rPr>
      </w:pPr>
      <w:r w:rsidRPr="000B49D4">
        <w:rPr>
          <w:rFonts w:ascii="仿宋_GB2312" w:eastAsia="仿宋_GB2312" w:hAnsi="宋体" w:hint="eastAsia"/>
          <w:sz w:val="32"/>
          <w:szCs w:val="32"/>
        </w:rPr>
        <w:t>（四）自治区直属各单位所属公共机构（包括派驻地方的公共机构）和各级公共机构能源资源消费统计的周期和报表报送时限等统计工作要求，应在符合上级相关要求的基础上，自行确定。</w:t>
      </w:r>
    </w:p>
    <w:p w:rsidR="00B909C6" w:rsidRPr="000B49D4" w:rsidRDefault="00B909C6" w:rsidP="00B909C6">
      <w:pPr>
        <w:spacing w:line="600" w:lineRule="exact"/>
        <w:ind w:firstLineChars="200" w:firstLine="640"/>
        <w:rPr>
          <w:rFonts w:ascii="黑体" w:eastAsia="黑体" w:hAnsi="黑体" w:hint="eastAsia"/>
          <w:sz w:val="32"/>
          <w:szCs w:val="32"/>
        </w:rPr>
      </w:pPr>
      <w:r w:rsidRPr="000B49D4">
        <w:rPr>
          <w:rFonts w:ascii="黑体" w:eastAsia="黑体" w:hAnsi="黑体" w:hint="eastAsia"/>
          <w:sz w:val="32"/>
          <w:szCs w:val="32"/>
        </w:rPr>
        <w:t>六、填报方法</w:t>
      </w:r>
    </w:p>
    <w:p w:rsidR="00B909C6" w:rsidRPr="000B49D4" w:rsidRDefault="00B909C6" w:rsidP="00B909C6">
      <w:pPr>
        <w:spacing w:line="600" w:lineRule="exact"/>
        <w:ind w:firstLineChars="200" w:firstLine="640"/>
        <w:rPr>
          <w:rFonts w:ascii="仿宋_GB2312" w:eastAsia="仿宋_GB2312" w:hAnsi="宋体" w:hint="eastAsia"/>
          <w:sz w:val="32"/>
          <w:szCs w:val="32"/>
        </w:rPr>
      </w:pPr>
      <w:r w:rsidRPr="000B49D4">
        <w:rPr>
          <w:rFonts w:ascii="仿宋_GB2312" w:eastAsia="仿宋_GB2312" w:hAnsi="宋体" w:hint="eastAsia"/>
          <w:sz w:val="32"/>
          <w:szCs w:val="32"/>
        </w:rPr>
        <w:t>（一）公共机构定期填写《公共机构基本信息》《公共机构能源资源消费状况》，经单位负责人审核并加盖单位公章后，报送上级行政主管部门或同级人民政府管理公共机构节能工作的机构。使用数据中心机房和实施采暖的公共机构还应按要求填报《公共机构数据中心机房能源消费状况》和《公</w:t>
      </w:r>
      <w:r w:rsidRPr="000B49D4">
        <w:rPr>
          <w:rFonts w:ascii="仿宋_GB2312" w:eastAsia="仿宋_GB2312" w:hAnsi="宋体" w:hint="eastAsia"/>
          <w:sz w:val="32"/>
          <w:szCs w:val="32"/>
        </w:rPr>
        <w:lastRenderedPageBreak/>
        <w:t>共机构采暖能源资源消费状况》。</w:t>
      </w:r>
    </w:p>
    <w:p w:rsidR="00B909C6" w:rsidRPr="000B49D4" w:rsidRDefault="00B909C6" w:rsidP="00B909C6">
      <w:pPr>
        <w:spacing w:line="600" w:lineRule="exact"/>
        <w:ind w:firstLineChars="200" w:firstLine="640"/>
        <w:rPr>
          <w:rFonts w:ascii="仿宋_GB2312" w:eastAsia="仿宋_GB2312" w:hAnsi="宋体" w:hint="eastAsia"/>
          <w:sz w:val="32"/>
          <w:szCs w:val="32"/>
        </w:rPr>
      </w:pPr>
      <w:r w:rsidRPr="000B49D4">
        <w:rPr>
          <w:rFonts w:ascii="仿宋_GB2312" w:eastAsia="仿宋_GB2312" w:hAnsi="宋体" w:hint="eastAsia"/>
          <w:sz w:val="32"/>
          <w:szCs w:val="32"/>
        </w:rPr>
        <w:t>（二）各级系统、行政主管部门定期汇总填写《公共机构能源资源消费统计分级汇总情况》《公共机构能源资源消费统计分类汇总情况》，经单位负责人审核并加盖单位公章后，报送上级行政主管部门或同级人民政府管理公共机构节能工作的机构；所属公共机构使用数据中心机房和实施采暖的还应定期填报《公共机构数据中心机房能源消费统计汇总情况》和《公共机构采暖能源资源消费统计汇总情况》。</w:t>
      </w:r>
    </w:p>
    <w:p w:rsidR="00B909C6" w:rsidRPr="000B49D4" w:rsidRDefault="00B909C6" w:rsidP="00B909C6">
      <w:pPr>
        <w:spacing w:line="600" w:lineRule="exact"/>
        <w:ind w:firstLineChars="200" w:firstLine="640"/>
        <w:rPr>
          <w:rFonts w:ascii="仿宋_GB2312" w:eastAsia="仿宋_GB2312" w:hAnsi="宋体" w:hint="eastAsia"/>
          <w:sz w:val="32"/>
          <w:szCs w:val="32"/>
        </w:rPr>
      </w:pPr>
      <w:r w:rsidRPr="000B49D4">
        <w:rPr>
          <w:rFonts w:ascii="仿宋_GB2312" w:eastAsia="仿宋_GB2312" w:hAnsi="宋体" w:hint="eastAsia"/>
          <w:sz w:val="32"/>
          <w:szCs w:val="32"/>
        </w:rPr>
        <w:t>（三）县级以上各级人民政府管理公共机构节能工作的机构定期汇总填写《公共机构能源资源消费统计分级汇总情况》《公共机构能源资源消费统计分类汇总情况》，经单位负责人审核并加盖单位公章后，报送上一级人民政府管理公共机构节能工作的机构。所辖公共机构使用数据中心机房和实施采暖的还应按要求填报《公共机构数据中心机房能源消费统计汇总情况》和《公共机构采暖能源资源消费统计汇总情况》。</w:t>
      </w:r>
    </w:p>
    <w:p w:rsidR="00B909C6" w:rsidRPr="000B49D4" w:rsidRDefault="00B909C6" w:rsidP="00B909C6">
      <w:pPr>
        <w:spacing w:line="600" w:lineRule="exact"/>
        <w:ind w:firstLineChars="200" w:firstLine="640"/>
        <w:rPr>
          <w:rFonts w:ascii="仿宋_GB2312" w:eastAsia="仿宋_GB2312" w:hAnsi="宋体" w:hint="eastAsia"/>
          <w:sz w:val="32"/>
          <w:szCs w:val="32"/>
        </w:rPr>
      </w:pPr>
      <w:r w:rsidRPr="000B49D4">
        <w:rPr>
          <w:rFonts w:ascii="仿宋_GB2312" w:eastAsia="仿宋_GB2312" w:hAnsi="宋体" w:hint="eastAsia"/>
          <w:sz w:val="32"/>
          <w:szCs w:val="32"/>
        </w:rPr>
        <w:t>除综合表中用地面积、建筑面积、能源资源消费量及费用指标需保留两位小数外，其余均不保留小数。</w:t>
      </w:r>
    </w:p>
    <w:p w:rsidR="00B909C6" w:rsidRPr="000B49D4" w:rsidRDefault="00B909C6" w:rsidP="00B909C6">
      <w:pPr>
        <w:spacing w:line="600" w:lineRule="exact"/>
        <w:ind w:firstLineChars="200" w:firstLine="640"/>
        <w:rPr>
          <w:rFonts w:ascii="黑体" w:eastAsia="黑体" w:hAnsi="黑体" w:hint="eastAsia"/>
          <w:sz w:val="32"/>
          <w:szCs w:val="32"/>
        </w:rPr>
      </w:pPr>
      <w:r w:rsidRPr="000B49D4">
        <w:rPr>
          <w:rFonts w:ascii="黑体" w:eastAsia="黑体" w:hAnsi="黑体" w:hint="eastAsia"/>
          <w:sz w:val="32"/>
          <w:szCs w:val="32"/>
        </w:rPr>
        <w:t>七、注意事项</w:t>
      </w:r>
    </w:p>
    <w:p w:rsidR="00B909C6" w:rsidRPr="000B49D4" w:rsidRDefault="00B909C6" w:rsidP="00B909C6">
      <w:pPr>
        <w:spacing w:line="600" w:lineRule="exact"/>
        <w:ind w:firstLineChars="200" w:firstLine="640"/>
        <w:rPr>
          <w:rFonts w:ascii="仿宋_GB2312" w:eastAsia="仿宋_GB2312" w:hAnsi="宋体" w:hint="eastAsia"/>
          <w:sz w:val="32"/>
          <w:szCs w:val="32"/>
        </w:rPr>
      </w:pPr>
      <w:r w:rsidRPr="000B49D4">
        <w:rPr>
          <w:rFonts w:ascii="仿宋_GB2312" w:eastAsia="仿宋_GB2312" w:hAnsi="宋体" w:hint="eastAsia"/>
          <w:sz w:val="32"/>
          <w:szCs w:val="32"/>
        </w:rPr>
        <w:t>（一）对保密有特殊要求的国家安全等部门根据本制度要求，自行组织本系统的能源资源消费统计工作，相关能源资源消费信息在符合保密要求的情况下报送同级人民政府管理机关事务工作的机构。</w:t>
      </w:r>
    </w:p>
    <w:p w:rsidR="00B909C6" w:rsidRDefault="00B909C6" w:rsidP="00B909C6">
      <w:pPr>
        <w:spacing w:line="600" w:lineRule="exact"/>
        <w:ind w:firstLineChars="200" w:firstLine="640"/>
        <w:rPr>
          <w:rFonts w:ascii="仿宋_GB2312" w:eastAsia="仿宋_GB2312" w:hAnsi="宋体"/>
          <w:sz w:val="32"/>
          <w:szCs w:val="32"/>
        </w:rPr>
      </w:pPr>
      <w:r w:rsidRPr="000B49D4">
        <w:rPr>
          <w:rFonts w:ascii="仿宋_GB2312" w:eastAsia="仿宋_GB2312" w:hAnsi="宋体" w:hint="eastAsia"/>
          <w:sz w:val="32"/>
          <w:szCs w:val="32"/>
        </w:rPr>
        <w:lastRenderedPageBreak/>
        <w:t>（二）本制度实行全国统一分类标准和编码，各级公共机构及相关部门必须严格执行。</w:t>
      </w:r>
    </w:p>
    <w:p w:rsidR="00B909C6" w:rsidRDefault="00B909C6" w:rsidP="00B909C6">
      <w:pPr>
        <w:spacing w:line="600" w:lineRule="exact"/>
        <w:ind w:firstLineChars="200" w:firstLine="640"/>
        <w:rPr>
          <w:rFonts w:ascii="仿宋_GB2312" w:eastAsia="仿宋_GB2312" w:hAnsi="宋体" w:hint="eastAsia"/>
          <w:sz w:val="32"/>
          <w:szCs w:val="32"/>
        </w:rPr>
      </w:pPr>
    </w:p>
    <w:bookmarkEnd w:id="0"/>
    <w:p w:rsidR="00B909C6" w:rsidRDefault="00B909C6" w:rsidP="00B909C6">
      <w:pPr>
        <w:spacing w:line="600" w:lineRule="exact"/>
        <w:ind w:firstLineChars="200" w:firstLine="640"/>
        <w:rPr>
          <w:rFonts w:ascii="仿宋_GB2312" w:eastAsia="仿宋_GB2312" w:hAnsi="宋体"/>
          <w:sz w:val="32"/>
          <w:szCs w:val="32"/>
        </w:rPr>
      </w:pPr>
    </w:p>
    <w:p w:rsidR="00B909C6" w:rsidRDefault="00B909C6" w:rsidP="00B909C6">
      <w:pPr>
        <w:spacing w:line="600" w:lineRule="exact"/>
        <w:ind w:firstLineChars="200" w:firstLine="640"/>
        <w:rPr>
          <w:rFonts w:ascii="仿宋_GB2312" w:eastAsia="仿宋_GB2312" w:hAnsi="宋体"/>
          <w:sz w:val="32"/>
          <w:szCs w:val="32"/>
        </w:rPr>
      </w:pPr>
    </w:p>
    <w:p w:rsidR="00B909C6" w:rsidRDefault="00B909C6" w:rsidP="00B909C6">
      <w:pPr>
        <w:spacing w:line="600" w:lineRule="exact"/>
        <w:ind w:firstLineChars="200" w:firstLine="640"/>
        <w:rPr>
          <w:rFonts w:ascii="仿宋_GB2312" w:eastAsia="仿宋_GB2312" w:hAnsi="宋体"/>
          <w:sz w:val="32"/>
          <w:szCs w:val="32"/>
        </w:rPr>
      </w:pPr>
    </w:p>
    <w:p w:rsidR="00B909C6" w:rsidRDefault="00B909C6" w:rsidP="00B909C6">
      <w:pPr>
        <w:spacing w:line="600" w:lineRule="exact"/>
        <w:ind w:firstLineChars="200" w:firstLine="640"/>
        <w:rPr>
          <w:rFonts w:ascii="仿宋_GB2312" w:eastAsia="仿宋_GB2312" w:hAnsi="宋体"/>
          <w:sz w:val="32"/>
          <w:szCs w:val="32"/>
        </w:rPr>
      </w:pPr>
    </w:p>
    <w:p w:rsidR="00B909C6" w:rsidRDefault="00B909C6" w:rsidP="00B909C6">
      <w:pPr>
        <w:spacing w:line="600" w:lineRule="exact"/>
        <w:ind w:firstLineChars="200" w:firstLine="640"/>
        <w:rPr>
          <w:rFonts w:ascii="仿宋_GB2312" w:eastAsia="仿宋_GB2312" w:hAnsi="宋体"/>
          <w:sz w:val="32"/>
          <w:szCs w:val="32"/>
        </w:rPr>
      </w:pPr>
    </w:p>
    <w:p w:rsidR="00B909C6" w:rsidRDefault="00B909C6" w:rsidP="00B909C6">
      <w:pPr>
        <w:spacing w:line="600" w:lineRule="exact"/>
        <w:ind w:firstLineChars="200" w:firstLine="640"/>
        <w:rPr>
          <w:rFonts w:ascii="仿宋_GB2312" w:eastAsia="仿宋_GB2312" w:hAnsi="宋体"/>
          <w:sz w:val="32"/>
          <w:szCs w:val="32"/>
        </w:rPr>
      </w:pPr>
    </w:p>
    <w:p w:rsidR="00B909C6" w:rsidRDefault="00B909C6" w:rsidP="00B909C6">
      <w:pPr>
        <w:spacing w:line="600" w:lineRule="exact"/>
        <w:ind w:firstLineChars="200" w:firstLine="640"/>
        <w:rPr>
          <w:rFonts w:ascii="仿宋_GB2312" w:eastAsia="仿宋_GB2312" w:hAnsi="宋体"/>
          <w:sz w:val="32"/>
          <w:szCs w:val="32"/>
        </w:rPr>
      </w:pPr>
    </w:p>
    <w:p w:rsidR="00B909C6" w:rsidRDefault="00B909C6" w:rsidP="00B909C6">
      <w:pPr>
        <w:spacing w:line="600" w:lineRule="exact"/>
        <w:ind w:firstLineChars="200" w:firstLine="640"/>
        <w:rPr>
          <w:rFonts w:ascii="仿宋_GB2312" w:eastAsia="仿宋_GB2312" w:hAnsi="宋体"/>
          <w:sz w:val="32"/>
          <w:szCs w:val="32"/>
        </w:rPr>
      </w:pPr>
    </w:p>
    <w:p w:rsidR="00B909C6" w:rsidRDefault="00B909C6" w:rsidP="00B909C6">
      <w:pPr>
        <w:spacing w:line="600" w:lineRule="exact"/>
        <w:ind w:firstLineChars="200" w:firstLine="640"/>
        <w:rPr>
          <w:rFonts w:ascii="仿宋_GB2312" w:eastAsia="仿宋_GB2312" w:hAnsi="宋体"/>
          <w:sz w:val="32"/>
          <w:szCs w:val="32"/>
        </w:rPr>
      </w:pPr>
    </w:p>
    <w:p w:rsidR="001E72D8" w:rsidRPr="00B909C6" w:rsidRDefault="001E72D8" w:rsidP="00B909C6">
      <w:bookmarkStart w:id="1" w:name="_GoBack"/>
      <w:bookmarkEnd w:id="1"/>
    </w:p>
    <w:sectPr w:rsidR="001E72D8" w:rsidRPr="00B909C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104" w:rsidRDefault="00733104" w:rsidP="00CC34D9">
      <w:r>
        <w:separator/>
      </w:r>
    </w:p>
  </w:endnote>
  <w:endnote w:type="continuationSeparator" w:id="0">
    <w:p w:rsidR="00733104" w:rsidRDefault="00733104" w:rsidP="00CC3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104" w:rsidRDefault="00733104" w:rsidP="00CC34D9">
      <w:r>
        <w:separator/>
      </w:r>
    </w:p>
  </w:footnote>
  <w:footnote w:type="continuationSeparator" w:id="0">
    <w:p w:rsidR="00733104" w:rsidRDefault="00733104" w:rsidP="00CC34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60F"/>
    <w:rsid w:val="0003760F"/>
    <w:rsid w:val="001E72D8"/>
    <w:rsid w:val="00733104"/>
    <w:rsid w:val="00B909C6"/>
    <w:rsid w:val="00CC34D9"/>
    <w:rsid w:val="00D72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0B73B1C-3F69-494C-B697-FAF79B13A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4D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34D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CC34D9"/>
    <w:rPr>
      <w:sz w:val="18"/>
      <w:szCs w:val="18"/>
    </w:rPr>
  </w:style>
  <w:style w:type="paragraph" w:styleId="a5">
    <w:name w:val="footer"/>
    <w:basedOn w:val="a"/>
    <w:link w:val="a6"/>
    <w:uiPriority w:val="99"/>
    <w:unhideWhenUsed/>
    <w:rsid w:val="00CC34D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CC34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222</Words>
  <Characters>1268</Characters>
  <Application>Microsoft Office Word</Application>
  <DocSecurity>0</DocSecurity>
  <Lines>10</Lines>
  <Paragraphs>2</Paragraphs>
  <ScaleCrop>false</ScaleCrop>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3</cp:revision>
  <dcterms:created xsi:type="dcterms:W3CDTF">2019-12-04T02:15:00Z</dcterms:created>
  <dcterms:modified xsi:type="dcterms:W3CDTF">2019-12-23T03:10:00Z</dcterms:modified>
</cp:coreProperties>
</file>